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4981223D" w:rsidR="004C33B3" w:rsidRPr="00BD6843" w:rsidRDefault="00552F77" w:rsidP="00783D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552F77">
              <w:rPr>
                <w:b w:val="0"/>
                <w:sz w:val="28"/>
                <w:szCs w:val="28"/>
                <w:lang w:val="uk-UA"/>
              </w:rPr>
              <w:t>П</w:t>
            </w:r>
            <w:r w:rsidRPr="00552F77">
              <w:rPr>
                <w:b w:val="0"/>
                <w:sz w:val="28"/>
                <w:szCs w:val="28"/>
                <w:lang w:val="uk-UA"/>
              </w:rPr>
              <w:t>ослуги з проведення випробувань низьковольтного електричного обладнання на відповідність Технічному регламенту низьковольтного електричного обладнання, затвердженого постановою Кабінету Міністрів України від 16.12.2015 №1067 та на відповідність Технічному регламенту з електромагнітної сумісності обладнання, затвердженого постановою Кабінету Міністрів України від 16.12.2015 №1077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A1AB0">
              <w:rPr>
                <w:b w:val="0"/>
                <w:sz w:val="28"/>
                <w:szCs w:val="28"/>
                <w:lang w:val="uk-UA"/>
              </w:rPr>
              <w:t xml:space="preserve">Код 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 xml:space="preserve">ДК 021:2015:71900000-7 </w:t>
            </w:r>
            <w:r w:rsidR="00433498">
              <w:rPr>
                <w:b w:val="0"/>
                <w:sz w:val="28"/>
                <w:szCs w:val="28"/>
                <w:lang w:val="uk-UA"/>
              </w:rPr>
              <w:t>«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>Лабораторні послуги</w:t>
            </w:r>
            <w:r w:rsidR="00433498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71F2D01E" w:rsidR="00AF119C" w:rsidRPr="006260C7" w:rsidRDefault="00552F77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F77">
              <w:rPr>
                <w:rFonts w:ascii="Times New Roman" w:hAnsi="Times New Roman"/>
                <w:sz w:val="28"/>
                <w:szCs w:val="28"/>
              </w:rPr>
              <w:t>UA-2024-06-04-008574-a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77777777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17D2CF6D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0A1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0412040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лабораторних випробувань, вимірювань та експертизи під час здійснення державного контролю (нагляду)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68C37DDC" w:rsidR="00A03BB9" w:rsidRPr="007A541B" w:rsidRDefault="00552F77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355 5</w:t>
            </w:r>
            <w:r w:rsidR="000A1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1AB0"/>
    <w:rsid w:val="000B283C"/>
    <w:rsid w:val="000C4F4F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60DA4"/>
    <w:rsid w:val="00381F89"/>
    <w:rsid w:val="00423A79"/>
    <w:rsid w:val="00433498"/>
    <w:rsid w:val="0047547F"/>
    <w:rsid w:val="00495363"/>
    <w:rsid w:val="004B3609"/>
    <w:rsid w:val="004C33B3"/>
    <w:rsid w:val="005157F7"/>
    <w:rsid w:val="00552F77"/>
    <w:rsid w:val="0059079A"/>
    <w:rsid w:val="00597E08"/>
    <w:rsid w:val="005A1CEE"/>
    <w:rsid w:val="006260C7"/>
    <w:rsid w:val="006270C6"/>
    <w:rsid w:val="0069369C"/>
    <w:rsid w:val="006B3941"/>
    <w:rsid w:val="00736A3B"/>
    <w:rsid w:val="00783D45"/>
    <w:rsid w:val="007924A8"/>
    <w:rsid w:val="007969BD"/>
    <w:rsid w:val="007A541B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52734"/>
    <w:rsid w:val="00A70683"/>
    <w:rsid w:val="00A90DF4"/>
    <w:rsid w:val="00AF119C"/>
    <w:rsid w:val="00BD6843"/>
    <w:rsid w:val="00C040C6"/>
    <w:rsid w:val="00C07741"/>
    <w:rsid w:val="00C20F57"/>
    <w:rsid w:val="00C412A8"/>
    <w:rsid w:val="00D016FC"/>
    <w:rsid w:val="00D54450"/>
    <w:rsid w:val="00D83CCE"/>
    <w:rsid w:val="00DD4CA6"/>
    <w:rsid w:val="00DE562E"/>
    <w:rsid w:val="00E95AEE"/>
    <w:rsid w:val="00EA7985"/>
    <w:rsid w:val="00F23228"/>
    <w:rsid w:val="00F517B7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4</cp:revision>
  <cp:lastPrinted>2021-03-25T15:30:00Z</cp:lastPrinted>
  <dcterms:created xsi:type="dcterms:W3CDTF">2024-06-10T12:56:00Z</dcterms:created>
  <dcterms:modified xsi:type="dcterms:W3CDTF">2024-06-10T13:01:00Z</dcterms:modified>
</cp:coreProperties>
</file>