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B15D37" w:rsidRPr="00B15D37" w14:paraId="08DB413D" w14:textId="77777777" w:rsidTr="00B15D3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808DE9" w14:textId="77777777"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65"/>
            <w:bookmarkEnd w:id="0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D105E0" w14:textId="4551A9F2"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наказом </w:t>
            </w:r>
            <w:r w:rsidR="0059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Головного управління Держпродспоживслужби в Дніпропетровській області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 р. № ____</w:t>
            </w:r>
          </w:p>
        </w:tc>
      </w:tr>
    </w:tbl>
    <w:p w14:paraId="5E6272FC" w14:textId="4AC92CCF" w:rsidR="00B15D37" w:rsidRPr="00A7708E" w:rsidRDefault="00B15D37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" w:name="n195"/>
      <w:bookmarkEnd w:id="1"/>
      <w:r w:rsidRPr="00A7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УМОВИ</w:t>
      </w:r>
      <w:r w:rsidRPr="00A77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A7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A7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конкурсу</w:t>
      </w:r>
      <w:r w:rsidR="00597452" w:rsidRPr="00A7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на зайняття посади державної служби категорії «</w:t>
      </w:r>
      <w:r w:rsidR="00DA4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Б</w:t>
      </w:r>
      <w:r w:rsidR="00597452" w:rsidRPr="00A7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» - </w:t>
      </w:r>
      <w:r w:rsidR="00DA4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начальника управління безпечності харчових продуктів та ветеринарної медицини</w:t>
      </w:r>
    </w:p>
    <w:tbl>
      <w:tblPr>
        <w:tblW w:w="66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14"/>
        <w:gridCol w:w="5780"/>
        <w:gridCol w:w="3014"/>
      </w:tblGrid>
      <w:tr w:rsidR="00B15D37" w:rsidRPr="00B15D37" w14:paraId="5BCE5E42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E225BC" w14:textId="77777777"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766"/>
            <w:bookmarkEnd w:id="2"/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DA47B1" w:rsidRPr="0090428F" w14:paraId="009C5C44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02F654" w14:textId="77777777" w:rsidR="00DA47B1" w:rsidRPr="00B15D37" w:rsidRDefault="00DA47B1" w:rsidP="00DA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6B7B" w14:textId="77777777" w:rsidR="00DA47B1" w:rsidRPr="00DA47B1" w:rsidRDefault="00DA47B1" w:rsidP="00DA47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1">
              <w:rPr>
                <w:rStyle w:val="1"/>
                <w:rFonts w:eastAsia="Andale Sans UI"/>
                <w:sz w:val="24"/>
                <w:szCs w:val="24"/>
              </w:rPr>
              <w:t xml:space="preserve">Керівництво та організація роботи </w:t>
            </w:r>
            <w:r w:rsidRPr="00DA47B1">
              <w:rPr>
                <w:rStyle w:val="1"/>
                <w:rFonts w:eastAsia="Andale Sans UI"/>
                <w:kern w:val="2"/>
                <w:sz w:val="24"/>
                <w:szCs w:val="24"/>
                <w:lang w:eastAsia="zh-CN"/>
              </w:rPr>
              <w:t>Управління</w:t>
            </w:r>
            <w:r w:rsidRPr="00DA47B1">
              <w:rPr>
                <w:rStyle w:val="1"/>
                <w:rFonts w:eastAsia="Andale Sans UI"/>
                <w:sz w:val="24"/>
                <w:szCs w:val="24"/>
              </w:rPr>
              <w:t>:</w:t>
            </w:r>
          </w:p>
          <w:p w14:paraId="23EB38E8" w14:textId="77777777" w:rsidR="00DA47B1" w:rsidRPr="00DA47B1" w:rsidRDefault="00DA47B1" w:rsidP="00DA47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1">
              <w:rPr>
                <w:rStyle w:val="1"/>
                <w:rFonts w:eastAsia="Andale Sans UI"/>
                <w:sz w:val="24"/>
                <w:szCs w:val="24"/>
              </w:rPr>
              <w:t xml:space="preserve">- забезпечення виконання завдань і функцій, покладених на  </w:t>
            </w:r>
            <w:r w:rsidRPr="00DA47B1">
              <w:rPr>
                <w:rStyle w:val="1"/>
                <w:rFonts w:eastAsia="Andale Sans UI"/>
                <w:kern w:val="2"/>
                <w:sz w:val="24"/>
                <w:szCs w:val="24"/>
                <w:lang w:eastAsia="zh-CN"/>
              </w:rPr>
              <w:t>Управління</w:t>
            </w:r>
            <w:r w:rsidRPr="00DA47B1">
              <w:rPr>
                <w:rStyle w:val="1"/>
                <w:rFonts w:eastAsia="Andale Sans UI"/>
                <w:sz w:val="24"/>
                <w:szCs w:val="24"/>
              </w:rPr>
              <w:t>;</w:t>
            </w:r>
          </w:p>
          <w:p w14:paraId="11F2F35A" w14:textId="77777777" w:rsidR="00DA47B1" w:rsidRPr="00DA47B1" w:rsidRDefault="00DA47B1" w:rsidP="00DA47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1">
              <w:rPr>
                <w:rStyle w:val="1"/>
                <w:rFonts w:eastAsia="Andale Sans UI"/>
                <w:sz w:val="24"/>
                <w:szCs w:val="24"/>
              </w:rPr>
              <w:t xml:space="preserve">- забезпечення виконання плану роботи </w:t>
            </w:r>
            <w:r w:rsidRPr="00DA47B1">
              <w:rPr>
                <w:rStyle w:val="1"/>
                <w:rFonts w:eastAsia="Andale Sans UI"/>
                <w:kern w:val="2"/>
                <w:sz w:val="24"/>
                <w:szCs w:val="24"/>
                <w:lang w:eastAsia="zh-CN"/>
              </w:rPr>
              <w:t>Управління</w:t>
            </w:r>
            <w:r w:rsidRPr="00DA47B1">
              <w:rPr>
                <w:rStyle w:val="1"/>
                <w:rFonts w:eastAsia="Andale Sans UI"/>
                <w:sz w:val="24"/>
                <w:szCs w:val="24"/>
              </w:rPr>
              <w:t>;</w:t>
            </w:r>
          </w:p>
          <w:p w14:paraId="19406043" w14:textId="691F64FE" w:rsidR="00DA47B1" w:rsidRPr="00DA47B1" w:rsidRDefault="00DA47B1" w:rsidP="00CF3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1">
              <w:rPr>
                <w:rStyle w:val="1"/>
                <w:rFonts w:eastAsia="Calibri"/>
                <w:sz w:val="24"/>
                <w:szCs w:val="24"/>
              </w:rPr>
              <w:t xml:space="preserve">- здійснення моніторингу та контролю за виконанням </w:t>
            </w:r>
            <w:r w:rsidRPr="00DA47B1">
              <w:rPr>
                <w:rStyle w:val="1"/>
                <w:rFonts w:eastAsia="Calibri"/>
                <w:sz w:val="24"/>
                <w:szCs w:val="24"/>
                <w:lang w:eastAsia="zh-CN"/>
              </w:rPr>
              <w:t>працівниками</w:t>
            </w:r>
            <w:r w:rsidRPr="00DA47B1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r w:rsidRPr="00DA47B1">
              <w:rPr>
                <w:rStyle w:val="1"/>
                <w:rFonts w:eastAsia="Calibri"/>
                <w:kern w:val="2"/>
                <w:sz w:val="24"/>
                <w:szCs w:val="24"/>
                <w:lang w:eastAsia="zh-CN"/>
              </w:rPr>
              <w:t>Управління</w:t>
            </w:r>
            <w:r w:rsidRPr="00DA47B1">
              <w:rPr>
                <w:rStyle w:val="1"/>
                <w:rFonts w:eastAsia="Calibri"/>
                <w:sz w:val="24"/>
                <w:szCs w:val="24"/>
              </w:rPr>
              <w:t xml:space="preserve"> посадових обов'язків, правил внутрішнього службового розпорядку</w:t>
            </w:r>
            <w:r w:rsidRPr="00DA47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55B9AAB4" w14:textId="77777777" w:rsidR="00DA47B1" w:rsidRPr="00DA47B1" w:rsidRDefault="00DA47B1" w:rsidP="00DA47B1">
            <w:pPr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контроль за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здійсненням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державного ветеринарно-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санітарного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(контролю) за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харчові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продукті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корми,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побічні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тваринного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благополуччя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тварин,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занесення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збудників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хвороб,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включених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до списку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епізоотичного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бюро (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- МЕБ), з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держав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карантинних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зон.</w:t>
            </w:r>
          </w:p>
          <w:p w14:paraId="4ED6965A" w14:textId="77777777" w:rsidR="00DA47B1" w:rsidRPr="00DA47B1" w:rsidRDefault="00DA47B1" w:rsidP="00DA47B1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 w:rsidRPr="00DA47B1">
              <w:rPr>
                <w:sz w:val="24"/>
                <w:szCs w:val="24"/>
              </w:rPr>
              <w:t>Організація та контроль за здійсненням державного нагляду (контролю) за:</w:t>
            </w:r>
          </w:p>
          <w:p w14:paraId="1952E82B" w14:textId="77777777" w:rsidR="00DA47B1" w:rsidRPr="00DA47B1" w:rsidRDefault="00DA47B1" w:rsidP="00DA47B1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 w:rsidRPr="00DA47B1">
              <w:rPr>
                <w:sz w:val="24"/>
                <w:szCs w:val="24"/>
              </w:rPr>
              <w:t xml:space="preserve">- дотриманням законодавства про харчові продукти, корми, побічні продукти тваринного походження, </w:t>
            </w:r>
            <w:proofErr w:type="spellStart"/>
            <w:r w:rsidRPr="00DA47B1">
              <w:rPr>
                <w:sz w:val="24"/>
                <w:szCs w:val="24"/>
              </w:rPr>
              <w:t>здоров</w:t>
            </w:r>
            <w:proofErr w:type="spellEnd"/>
            <w:r w:rsidRPr="00DA47B1">
              <w:rPr>
                <w:sz w:val="24"/>
                <w:szCs w:val="24"/>
                <w:lang w:val="ru-RU"/>
              </w:rPr>
              <w:t>’</w:t>
            </w:r>
            <w:r w:rsidRPr="00DA47B1">
              <w:rPr>
                <w:sz w:val="24"/>
                <w:szCs w:val="24"/>
              </w:rPr>
              <w:t>ям та благополуччям тварин;</w:t>
            </w:r>
          </w:p>
          <w:p w14:paraId="1CA17B8F" w14:textId="77777777" w:rsidR="00DA47B1" w:rsidRPr="00DA47B1" w:rsidRDefault="00DA47B1" w:rsidP="00DA47B1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 w:rsidRPr="00DA47B1">
              <w:rPr>
                <w:sz w:val="24"/>
                <w:szCs w:val="24"/>
              </w:rPr>
              <w:t xml:space="preserve">- тваринами, харчовими продуктами, іншими об’єктами санітарних заходів, пов’язаними з продуктами тваринного походження, репродуктивним матеріалом, ветеринарними препаратами, субстанціями, кормовими добавками, </w:t>
            </w:r>
            <w:proofErr w:type="spellStart"/>
            <w:r w:rsidRPr="00DA47B1">
              <w:rPr>
                <w:sz w:val="24"/>
                <w:szCs w:val="24"/>
              </w:rPr>
              <w:t>преміксами</w:t>
            </w:r>
            <w:proofErr w:type="spellEnd"/>
            <w:r w:rsidRPr="00DA47B1">
              <w:rPr>
                <w:sz w:val="24"/>
                <w:szCs w:val="24"/>
              </w:rPr>
              <w:t xml:space="preserve"> та кормами, засобами ветеринарної медицини, засобами догляду за тваринами та супутніми об’єктами, штамами мікроорганізмів, а також </w:t>
            </w:r>
            <w:proofErr w:type="spellStart"/>
            <w:r w:rsidRPr="00DA47B1">
              <w:rPr>
                <w:sz w:val="24"/>
                <w:szCs w:val="24"/>
              </w:rPr>
              <w:t>потужностями</w:t>
            </w:r>
            <w:proofErr w:type="spellEnd"/>
            <w:r w:rsidRPr="00DA47B1">
              <w:rPr>
                <w:sz w:val="24"/>
                <w:szCs w:val="24"/>
              </w:rPr>
              <w:t>, що використовуються для їх виробництва, переробки, зберігання та обігу;</w:t>
            </w:r>
          </w:p>
          <w:p w14:paraId="7A0DF0CA" w14:textId="77777777" w:rsidR="00DA47B1" w:rsidRPr="00DA47B1" w:rsidRDefault="00DA47B1" w:rsidP="00DA47B1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 w:rsidRPr="00DA47B1">
              <w:rPr>
                <w:sz w:val="24"/>
                <w:szCs w:val="24"/>
              </w:rPr>
              <w:t>- діяльністю суб’єктів господарювання, які здійснюють виробництво, перевезення, зберігання, реалізацію органічної продукції (сировини);</w:t>
            </w:r>
          </w:p>
          <w:p w14:paraId="03DB7F68" w14:textId="77777777" w:rsidR="00DA47B1" w:rsidRPr="00DA47B1" w:rsidRDefault="00DA47B1" w:rsidP="00DA47B1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 w:rsidRPr="00DA47B1">
              <w:rPr>
                <w:sz w:val="24"/>
                <w:szCs w:val="24"/>
              </w:rPr>
              <w:t xml:space="preserve">- проведенням ветеринарно-санітарної експертизи на </w:t>
            </w:r>
            <w:proofErr w:type="spellStart"/>
            <w:r w:rsidRPr="00DA47B1">
              <w:rPr>
                <w:sz w:val="24"/>
                <w:szCs w:val="24"/>
              </w:rPr>
              <w:t>потужностях</w:t>
            </w:r>
            <w:proofErr w:type="spellEnd"/>
            <w:r w:rsidRPr="00DA47B1">
              <w:rPr>
                <w:sz w:val="24"/>
                <w:szCs w:val="24"/>
              </w:rPr>
              <w:t xml:space="preserve">, які використовуються для виробництва та/або обігу тварин, харчових продуктів, а також на </w:t>
            </w:r>
            <w:proofErr w:type="spellStart"/>
            <w:r w:rsidRPr="00DA47B1">
              <w:rPr>
                <w:sz w:val="24"/>
                <w:szCs w:val="24"/>
              </w:rPr>
              <w:t>агропродовольчих</w:t>
            </w:r>
            <w:proofErr w:type="spellEnd"/>
            <w:r w:rsidRPr="00DA47B1">
              <w:rPr>
                <w:sz w:val="24"/>
                <w:szCs w:val="24"/>
              </w:rPr>
              <w:t xml:space="preserve"> ринках за місцем проведення ярмарок;</w:t>
            </w:r>
          </w:p>
          <w:p w14:paraId="16B35C60" w14:textId="77777777" w:rsidR="00DA47B1" w:rsidRPr="00DA47B1" w:rsidRDefault="00DA47B1" w:rsidP="00DA47B1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 w:rsidRPr="00DA47B1">
              <w:rPr>
                <w:sz w:val="24"/>
                <w:szCs w:val="24"/>
              </w:rPr>
              <w:lastRenderedPageBreak/>
              <w:t xml:space="preserve">- безпечністю харчових продуктів у процесі їх виробництва та/або обігу з метою їх експорту та імпорту, а також </w:t>
            </w:r>
            <w:proofErr w:type="spellStart"/>
            <w:r w:rsidRPr="00DA47B1">
              <w:rPr>
                <w:sz w:val="24"/>
                <w:szCs w:val="24"/>
              </w:rPr>
              <w:t>видачею</w:t>
            </w:r>
            <w:proofErr w:type="spellEnd"/>
            <w:r w:rsidRPr="00DA47B1">
              <w:rPr>
                <w:sz w:val="24"/>
                <w:szCs w:val="24"/>
              </w:rPr>
              <w:t xml:space="preserve"> міжнародних сертифікатів (ветеринарних, санітарних, сертифікатів здоров’я), а для держав СНД – ветеринарних </w:t>
            </w:r>
            <w:proofErr w:type="spellStart"/>
            <w:r w:rsidRPr="00DA47B1">
              <w:rPr>
                <w:sz w:val="24"/>
                <w:szCs w:val="24"/>
              </w:rPr>
              <w:t>свідоцтв</w:t>
            </w:r>
            <w:proofErr w:type="spellEnd"/>
            <w:r w:rsidRPr="00DA47B1">
              <w:rPr>
                <w:sz w:val="24"/>
                <w:szCs w:val="24"/>
              </w:rPr>
              <w:t xml:space="preserve"> у визначених законодавством випадках;</w:t>
            </w:r>
          </w:p>
          <w:p w14:paraId="79EB8D10" w14:textId="77777777" w:rsidR="00DA47B1" w:rsidRPr="00DA47B1" w:rsidRDefault="00DA47B1" w:rsidP="00DA47B1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 w:rsidRPr="00DA47B1">
              <w:rPr>
                <w:sz w:val="24"/>
                <w:szCs w:val="24"/>
              </w:rPr>
              <w:t xml:space="preserve">- переміщенням тварин, харчових продуктів, інших об’єктів санітарних заходів, пов’язаних з продуктами тваринного походження, репродуктивного матеріалу, біологічних продуктів, патологічного матеріалу, ветеринарних препаратів, субстанцій, кормових добавок, </w:t>
            </w:r>
            <w:proofErr w:type="spellStart"/>
            <w:r w:rsidRPr="00DA47B1">
              <w:rPr>
                <w:sz w:val="24"/>
                <w:szCs w:val="24"/>
              </w:rPr>
              <w:t>преміксів</w:t>
            </w:r>
            <w:proofErr w:type="spellEnd"/>
            <w:r w:rsidRPr="00DA47B1">
              <w:rPr>
                <w:sz w:val="24"/>
                <w:szCs w:val="24"/>
              </w:rPr>
              <w:t xml:space="preserve"> та кормів, засобів ветеринарної медицини, засобів догляду за тваринами та супутніми об’єктами, штамів мікроорганізмів;</w:t>
            </w:r>
          </w:p>
          <w:p w14:paraId="5C8F95DF" w14:textId="77777777" w:rsidR="00DA47B1" w:rsidRPr="00DA47B1" w:rsidRDefault="00DA47B1" w:rsidP="00DA47B1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 w:rsidRPr="00DA47B1">
              <w:rPr>
                <w:sz w:val="24"/>
                <w:szCs w:val="24"/>
              </w:rPr>
              <w:t>- організацією роботи зі збору, утилізації та знищення загиблих тварин і побічних продуктів тваринного походження, не призначених для споживання людиною;</w:t>
            </w:r>
          </w:p>
          <w:p w14:paraId="0B757DFB" w14:textId="77777777" w:rsidR="00DA47B1" w:rsidRPr="00DA47B1" w:rsidRDefault="00DA47B1" w:rsidP="00DA47B1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 w:rsidRPr="00DA47B1">
              <w:rPr>
                <w:sz w:val="24"/>
                <w:szCs w:val="24"/>
              </w:rPr>
              <w:t xml:space="preserve"> - здійсненням протиепізоотичних заходів юридичними та фізичними особами, провадять професійну діяльність у галузі ветеринарної медицини;</w:t>
            </w:r>
          </w:p>
          <w:p w14:paraId="356EC43A" w14:textId="77777777" w:rsidR="00DA47B1" w:rsidRPr="00DA47B1" w:rsidRDefault="00DA47B1" w:rsidP="00DA47B1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 w:rsidRPr="00DA47B1">
              <w:rPr>
                <w:sz w:val="24"/>
                <w:szCs w:val="24"/>
              </w:rPr>
              <w:t>- дотриманням законодавства щодо ідентифікації та реєстрації тварин;</w:t>
            </w:r>
          </w:p>
          <w:p w14:paraId="756AA7D4" w14:textId="77777777" w:rsidR="00DA47B1" w:rsidRPr="00DA47B1" w:rsidRDefault="00DA47B1" w:rsidP="00DA47B1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 w:rsidRPr="00DA47B1">
              <w:rPr>
                <w:sz w:val="24"/>
                <w:szCs w:val="24"/>
              </w:rPr>
              <w:t xml:space="preserve">- проведенням суб’єктами господарювання дезінфекції, дезінсекції та дератизації на </w:t>
            </w:r>
            <w:proofErr w:type="spellStart"/>
            <w:r w:rsidRPr="00DA47B1">
              <w:rPr>
                <w:sz w:val="24"/>
                <w:szCs w:val="24"/>
              </w:rPr>
              <w:t>потужностях</w:t>
            </w:r>
            <w:proofErr w:type="spellEnd"/>
            <w:r w:rsidRPr="00DA47B1">
              <w:rPr>
                <w:sz w:val="24"/>
                <w:szCs w:val="24"/>
              </w:rPr>
              <w:t xml:space="preserve">, що використовуються для виробництва, переробки, зберігання та обігу тварин, харчових продуктів, репродуктивного матеріалу, ветеринарних препаратів, субстанцій, кормових добавок, </w:t>
            </w:r>
            <w:proofErr w:type="spellStart"/>
            <w:r w:rsidRPr="00DA47B1">
              <w:rPr>
                <w:sz w:val="24"/>
                <w:szCs w:val="24"/>
              </w:rPr>
              <w:t>преміксів</w:t>
            </w:r>
            <w:proofErr w:type="spellEnd"/>
            <w:r w:rsidRPr="00DA47B1">
              <w:rPr>
                <w:sz w:val="24"/>
                <w:szCs w:val="24"/>
              </w:rPr>
              <w:t xml:space="preserve"> та кормів, а також засобів, використовуються для їх транспортування;</w:t>
            </w:r>
          </w:p>
          <w:p w14:paraId="17B56A27" w14:textId="77777777" w:rsidR="00DA47B1" w:rsidRPr="00DA47B1" w:rsidRDefault="00DA47B1" w:rsidP="00DA47B1">
            <w:pPr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впровадженням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діючих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заснованих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на принципах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факторів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та контролю у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критичних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точках (НАССР).</w:t>
            </w:r>
          </w:p>
          <w:p w14:paraId="25B610A5" w14:textId="77777777" w:rsidR="00DA47B1" w:rsidRPr="00DA47B1" w:rsidRDefault="00DA47B1" w:rsidP="00DA47B1">
            <w:pPr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та контроль за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організацією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хвороб,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для тварин і людей.</w:t>
            </w:r>
          </w:p>
          <w:p w14:paraId="54A93F70" w14:textId="77777777" w:rsidR="00DA47B1" w:rsidRPr="00DA47B1" w:rsidRDefault="00DA47B1" w:rsidP="00DA47B1">
            <w:pPr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контроль за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здійсненням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дезінфекції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дезінсекції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дератизації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потужностях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переробки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обігу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тварин, репродуктивного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ветеринарних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препаратів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субстанцій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кормових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добавок,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преміксів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кормів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ветеринарної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медицини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догляду за тваринами та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супутніми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об’єктами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штамів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мікроорганізмів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F3A00C" w14:textId="77777777" w:rsidR="00DA47B1" w:rsidRPr="00DA47B1" w:rsidRDefault="00DA47B1" w:rsidP="00DA47B1">
            <w:pPr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та контроль за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здійсненням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роботою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офіційних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уповноважених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лікарів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ветеринарно-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державного ветеринарного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інспектора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4FEFEF" w14:textId="77777777" w:rsidR="00DA47B1" w:rsidRPr="00DA47B1" w:rsidRDefault="00DA47B1" w:rsidP="00DA47B1">
            <w:pPr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та контроль за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діяльністю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ветеринарної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медицини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ветеринарно-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санітарної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неїстівних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тваринного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репродуктивного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біологічних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кормових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добавок,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преміксів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кормів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ветеринарно-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безпечності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B47C2A" w14:textId="77777777" w:rsidR="00DA47B1" w:rsidRPr="00DA47B1" w:rsidRDefault="00DA47B1" w:rsidP="00DA47B1">
            <w:pPr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Контроль за </w:t>
            </w:r>
            <w:proofErr w:type="spellStart"/>
            <w:r w:rsidRPr="00DA47B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еденням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номенклатури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справ та робота з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укомплектування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архівних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DA13A3" w14:textId="77777777" w:rsidR="00A340F5" w:rsidRDefault="00DA47B1" w:rsidP="00A340F5">
            <w:pPr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DA4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Своєчасно</w:t>
            </w:r>
            <w:proofErr w:type="spellEnd"/>
            <w:r w:rsidRPr="00DA4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організовує</w:t>
            </w:r>
            <w:proofErr w:type="spellEnd"/>
            <w:r w:rsidRPr="00DA4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підготовку</w:t>
            </w:r>
            <w:proofErr w:type="spellEnd"/>
            <w:r w:rsidRPr="00DA4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проєкту</w:t>
            </w:r>
            <w:proofErr w:type="spellEnd"/>
            <w:r w:rsidRPr="00DA4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відповіді</w:t>
            </w:r>
            <w:proofErr w:type="spellEnd"/>
            <w:r w:rsidRPr="00DA4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або</w:t>
            </w:r>
            <w:proofErr w:type="spellEnd"/>
            <w:r w:rsidRPr="00DA4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інформацію</w:t>
            </w:r>
            <w:proofErr w:type="spellEnd"/>
            <w:r w:rsidRPr="00DA47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 </w:t>
            </w:r>
            <w:proofErr w:type="spellStart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звернен</w:t>
            </w:r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ня</w:t>
            </w:r>
            <w:proofErr w:type="spellEnd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громадян</w:t>
            </w:r>
            <w:proofErr w:type="spellEnd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звернення</w:t>
            </w:r>
            <w:proofErr w:type="spellEnd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та </w:t>
            </w:r>
            <w:proofErr w:type="spellStart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запит</w:t>
            </w:r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и</w:t>
            </w:r>
            <w:proofErr w:type="spellEnd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народних</w:t>
            </w:r>
            <w:proofErr w:type="spellEnd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депутатів</w:t>
            </w:r>
            <w:proofErr w:type="spellEnd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України</w:t>
            </w:r>
            <w:proofErr w:type="spellEnd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листи</w:t>
            </w:r>
            <w:proofErr w:type="spellEnd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підприємств</w:t>
            </w:r>
            <w:proofErr w:type="spellEnd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установ</w:t>
            </w:r>
            <w:proofErr w:type="spellEnd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організацій</w:t>
            </w:r>
            <w:proofErr w:type="spellEnd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тощо</w:t>
            </w:r>
            <w:proofErr w:type="spellEnd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 межах </w:t>
            </w:r>
            <w:proofErr w:type="spellStart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к</w:t>
            </w:r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омпетенції</w:t>
            </w:r>
            <w:proofErr w:type="spellEnd"/>
            <w:r w:rsidRPr="00DA4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14:paraId="67B0B1A8" w14:textId="00F07C38" w:rsidR="00DA47B1" w:rsidRPr="00A340F5" w:rsidRDefault="00DA47B1" w:rsidP="00A340F5">
            <w:pPr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DA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DA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DA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повноважень</w:t>
            </w:r>
            <w:proofErr w:type="spellEnd"/>
            <w:r w:rsidRPr="00DA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DA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Положенням</w:t>
            </w:r>
            <w:proofErr w:type="spellEnd"/>
            <w:r w:rsidRPr="00DA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безпечності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ветеринарної</w:t>
            </w:r>
            <w:proofErr w:type="spellEnd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sz w:val="24"/>
                <w:szCs w:val="24"/>
              </w:rPr>
              <w:t>медицини</w:t>
            </w:r>
            <w:proofErr w:type="spellEnd"/>
            <w:r w:rsidRPr="00DA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A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DA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чинним</w:t>
            </w:r>
            <w:proofErr w:type="spellEnd"/>
            <w:r w:rsidRPr="00DA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DA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47B1" w:rsidRPr="00B15D37" w14:paraId="00F1392C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8C5534" w14:textId="77777777" w:rsidR="00DA47B1" w:rsidRPr="00B15D37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C534" w14:textId="66A057CB" w:rsidR="00DA47B1" w:rsidRPr="004108EC" w:rsidRDefault="00DA47B1" w:rsidP="00DA47B1">
            <w:pPr>
              <w:tabs>
                <w:tab w:val="left" w:pos="3045"/>
              </w:tabs>
              <w:spacing w:after="0" w:line="240" w:lineRule="auto"/>
              <w:ind w:left="11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EC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4108EC">
              <w:rPr>
                <w:rFonts w:ascii="Times New Roman" w:hAnsi="Times New Roman" w:cs="Times New Roman"/>
                <w:sz w:val="24"/>
                <w:szCs w:val="24"/>
              </w:rPr>
              <w:t xml:space="preserve"> оклад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8450</w:t>
            </w:r>
            <w:r w:rsidRPr="004108EC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5ED737AD" w14:textId="77777777" w:rsidR="00DA47B1" w:rsidRPr="007712B6" w:rsidRDefault="00DA47B1" w:rsidP="00DA47B1">
            <w:pPr>
              <w:tabs>
                <w:tab w:val="left" w:pos="612"/>
              </w:tabs>
              <w:spacing w:after="20"/>
              <w:ind w:left="11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надбавки, доплати, </w:t>
            </w:r>
            <w:proofErr w:type="spellStart"/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премії</w:t>
            </w:r>
            <w:proofErr w:type="spellEnd"/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14:paraId="67AD5DB8" w14:textId="017FD53F" w:rsidR="00DA47B1" w:rsidRPr="004108EC" w:rsidRDefault="00DA47B1" w:rsidP="00DA47B1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712B6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DA47B1" w:rsidRPr="00B15D37" w14:paraId="624A67F7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2AF632" w14:textId="77777777" w:rsidR="00DA47B1" w:rsidRPr="00B15D37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посаду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0ED8" w14:textId="77777777" w:rsidR="00DA47B1" w:rsidRDefault="00DA47B1" w:rsidP="00DA47B1">
            <w:pPr>
              <w:spacing w:before="150" w:after="150" w:line="240" w:lineRule="auto"/>
              <w:ind w:left="116" w:right="1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>Безстрокове</w:t>
            </w:r>
            <w:proofErr w:type="spellEnd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 xml:space="preserve"> на посаду</w:t>
            </w:r>
          </w:p>
          <w:p w14:paraId="2833B242" w14:textId="57FA39C7" w:rsidR="00DA47B1" w:rsidRPr="00217332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досягла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65-річного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, становить один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з правом повторного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обов’язкового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щороку</w:t>
            </w:r>
            <w:proofErr w:type="spellEnd"/>
          </w:p>
        </w:tc>
      </w:tr>
      <w:tr w:rsidR="00DA47B1" w:rsidRPr="00B15D37" w14:paraId="46982B16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34E56" w14:textId="77777777" w:rsidR="00DA47B1" w:rsidRPr="00B15D37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C4245" w14:textId="77777777" w:rsidR="00DA47B1" w:rsidRPr="007C315F" w:rsidRDefault="00DA47B1" w:rsidP="00DA47B1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змінами);</w:t>
            </w:r>
          </w:p>
          <w:p w14:paraId="32072596" w14:textId="77777777" w:rsidR="00DA47B1" w:rsidRPr="007C315F" w:rsidRDefault="00DA47B1" w:rsidP="00DA47B1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2) резюме за формою згідно з додатком 2</w:t>
            </w:r>
            <w:r w:rsidRPr="007C315F">
              <w:rPr>
                <w:sz w:val="24"/>
                <w:szCs w:val="24"/>
                <w:vertAlign w:val="superscript"/>
              </w:rPr>
              <w:t>1</w:t>
            </w:r>
            <w:r w:rsidRPr="007C315F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14:paraId="5739C122" w14:textId="77777777" w:rsidR="00DA47B1" w:rsidRPr="007C315F" w:rsidRDefault="00DA47B1" w:rsidP="00DA47B1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прізвище, ім’я, по батькові кандидата;</w:t>
            </w:r>
          </w:p>
          <w:p w14:paraId="5DB326CB" w14:textId="77777777" w:rsidR="00DA47B1" w:rsidRPr="007C315F" w:rsidRDefault="00DA47B1" w:rsidP="00DA47B1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CE413BC" w14:textId="77777777" w:rsidR="00DA47B1" w:rsidRPr="007C315F" w:rsidRDefault="00DA47B1" w:rsidP="00DA47B1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14D5F2E9" w14:textId="77777777" w:rsidR="00DA47B1" w:rsidRPr="007C315F" w:rsidRDefault="00DA47B1" w:rsidP="00DA47B1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ED47F6D" w14:textId="77777777" w:rsidR="00DA47B1" w:rsidRPr="007C315F" w:rsidRDefault="00DA47B1" w:rsidP="00DA47B1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lastRenderedPageBreak/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69296DEF" w14:textId="77777777" w:rsidR="00DA47B1" w:rsidRPr="007C315F" w:rsidRDefault="00DA47B1" w:rsidP="00DA47B1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 xml:space="preserve">Подача додатків до заяви не є обов’язковою. </w:t>
            </w:r>
          </w:p>
          <w:p w14:paraId="756B550B" w14:textId="77777777" w:rsidR="00DA47B1" w:rsidRPr="007C315F" w:rsidRDefault="00DA47B1" w:rsidP="00DA47B1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3¹)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576130C0" w14:textId="1513A8BA" w:rsidR="00DA47B1" w:rsidRPr="00082654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654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08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приймається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год. 00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січня</w:t>
            </w:r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 року.</w:t>
            </w:r>
          </w:p>
        </w:tc>
      </w:tr>
      <w:tr w:rsidR="00DA47B1" w:rsidRPr="00B15D37" w14:paraId="2B2F7BF7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B9D610" w14:textId="77777777" w:rsidR="00DA47B1" w:rsidRPr="00B15D37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Додаткові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134F" w14:textId="2030FB9B" w:rsidR="00DA47B1" w:rsidRPr="00B15D37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аява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47B1" w:rsidRPr="00B15D37" w14:paraId="42806A44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7297CC" w14:textId="77777777" w:rsidR="00DA47B1" w:rsidRPr="00B07E86" w:rsidRDefault="00DA47B1" w:rsidP="00DA47B1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Дата і час початку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36236F" w14:textId="77777777" w:rsidR="00DA47B1" w:rsidRPr="00B07E86" w:rsidRDefault="00DA47B1" w:rsidP="00DA47B1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FA2741" w14:textId="77777777" w:rsidR="00DA47B1" w:rsidRDefault="00DA47B1" w:rsidP="00DA47B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D89B6AD" w14:textId="67C0987E" w:rsidR="00DA47B1" w:rsidRPr="00B15D37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 конкурсу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F63C" w14:textId="7876581C" w:rsidR="00DA47B1" w:rsidRPr="00AC6584" w:rsidRDefault="00DA47B1" w:rsidP="00DA47B1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A47B1">
              <w:rPr>
                <w:rStyle w:val="a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18-19 січня 2022</w:t>
            </w:r>
            <w:r w:rsidRPr="00DA47B1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року </w:t>
            </w:r>
            <w:r w:rsidRPr="00DA47B1">
              <w:rPr>
                <w:rStyle w:val="a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год. 00 </w:t>
            </w:r>
            <w:proofErr w:type="spellStart"/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>хв</w:t>
            </w:r>
            <w:proofErr w:type="spellEnd"/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A413B2E" w14:textId="77777777" w:rsidR="00DA47B1" w:rsidRPr="005B2FD4" w:rsidRDefault="00DA47B1" w:rsidP="00DA47B1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73883650" w14:textId="7373B6C4" w:rsidR="00DA47B1" w:rsidRDefault="00DA47B1" w:rsidP="00DA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поверх 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989CC3" w14:textId="77777777" w:rsidR="00DA47B1" w:rsidRDefault="00DA47B1" w:rsidP="00DA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2CEDD" w14:textId="77777777" w:rsidR="00DA47B1" w:rsidRPr="00B07E86" w:rsidRDefault="00DA47B1" w:rsidP="00DA47B1">
            <w:pPr>
              <w:spacing w:after="2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, буд. 39-А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86CEF3" w14:textId="77777777" w:rsidR="00DA47B1" w:rsidRPr="00B07E86" w:rsidRDefault="00DA47B1" w:rsidP="00DA47B1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1F493" w14:textId="62BE11DF" w:rsidR="00DA47B1" w:rsidRPr="00630627" w:rsidRDefault="00DA47B1" w:rsidP="00DA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, буд. 39-А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) конкурсу за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47B1" w:rsidRPr="00432CB0" w14:paraId="21917CD1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799BC0" w14:textId="77777777" w:rsidR="00DA47B1" w:rsidRPr="00B15D37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F18F" w14:textId="77777777" w:rsidR="00DA47B1" w:rsidRPr="00432CB0" w:rsidRDefault="00DA47B1" w:rsidP="00DA47B1">
            <w:pPr>
              <w:tabs>
                <w:tab w:val="left" w:pos="3045"/>
              </w:tabs>
              <w:spacing w:after="0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  <w:p w14:paraId="1218B133" w14:textId="77777777" w:rsidR="00DA47B1" w:rsidRDefault="00DA47B1" w:rsidP="00DA47B1">
            <w:pPr>
              <w:tabs>
                <w:tab w:val="left" w:pos="3045"/>
              </w:tabs>
              <w:spacing w:after="0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+38 (095) 838 21 44 </w:t>
            </w:r>
          </w:p>
          <w:p w14:paraId="7B5907E9" w14:textId="5852B87C" w:rsidR="00DA47B1" w:rsidRPr="007712B6" w:rsidRDefault="00DA47B1" w:rsidP="00DA47B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66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dpss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DA47B1" w:rsidRPr="00B15D37" w14:paraId="4E86C115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6E2B79" w14:textId="77777777" w:rsidR="00DA47B1" w:rsidRPr="00B15D37" w:rsidRDefault="00DA47B1" w:rsidP="00DA47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DA47B1" w:rsidRPr="00B15D37" w14:paraId="7F0EA8DF" w14:textId="77777777" w:rsidTr="00DA47B1">
        <w:trPr>
          <w:gridAfter w:val="1"/>
          <w:wAfter w:w="3014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A33B3" w14:textId="77777777" w:rsidR="00DA47B1" w:rsidRPr="00B15D37" w:rsidRDefault="00DA47B1" w:rsidP="00DA47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8E112C" w14:textId="77777777" w:rsidR="00DA47B1" w:rsidRPr="00B15D37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B933" w14:textId="7A3A0A47" w:rsidR="00DA47B1" w:rsidRPr="00BC2356" w:rsidRDefault="00DA47B1" w:rsidP="00DA47B1">
            <w:pPr>
              <w:ind w:firstLine="2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освіта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освітньо-кваліфікаційним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рівнем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магістра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галузі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ветеринарної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медицини</w:t>
            </w:r>
            <w:proofErr w:type="spellEnd"/>
          </w:p>
        </w:tc>
      </w:tr>
      <w:tr w:rsidR="00DA47B1" w:rsidRPr="00B15D37" w14:paraId="6CD97C6E" w14:textId="77777777" w:rsidTr="00DA47B1">
        <w:trPr>
          <w:gridAfter w:val="1"/>
          <w:wAfter w:w="3014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7180EC" w14:textId="77777777" w:rsidR="00DA47B1" w:rsidRPr="00B15D37" w:rsidRDefault="00DA47B1" w:rsidP="00DA47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6BDF23" w14:textId="77777777" w:rsidR="00DA47B1" w:rsidRPr="00B15D37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0FDE" w14:textId="3DC6E514" w:rsidR="00DA47B1" w:rsidRPr="00B15D37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досвід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посадах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категорій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«Б»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«В»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досвід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органах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самоврядування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досвід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керівних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посадах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підприємств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установ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організацій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незалежно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менше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двох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років</w:t>
            </w:r>
            <w:proofErr w:type="spellEnd"/>
            <w:r w:rsidRPr="0057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A47B1" w:rsidRPr="00B15D37" w14:paraId="555A43D2" w14:textId="77777777" w:rsidTr="00DA47B1">
        <w:trPr>
          <w:gridAfter w:val="1"/>
          <w:wAfter w:w="3014" w:type="dxa"/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877E6C" w14:textId="77777777" w:rsidR="00DA47B1" w:rsidRPr="00B15D37" w:rsidRDefault="00DA47B1" w:rsidP="00DA47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09D5D1" w14:textId="77777777" w:rsidR="00DA47B1" w:rsidRPr="00B15D37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9203" w14:textId="3CB29097" w:rsidR="00DA47B1" w:rsidRPr="00B15D37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вільне</w:t>
            </w:r>
            <w:proofErr w:type="spellEnd"/>
            <w:r w:rsidRPr="00E7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володіння</w:t>
            </w:r>
            <w:proofErr w:type="spellEnd"/>
            <w:r w:rsidRPr="00E7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державною </w:t>
            </w:r>
            <w:proofErr w:type="spellStart"/>
            <w:r w:rsidRPr="00E7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мовою</w:t>
            </w:r>
            <w:proofErr w:type="spellEnd"/>
          </w:p>
        </w:tc>
      </w:tr>
      <w:tr w:rsidR="00DA47B1" w:rsidRPr="00B15D37" w14:paraId="5EB27A89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2F0A7F" w14:textId="77777777" w:rsidR="00DA47B1" w:rsidRPr="00B15D37" w:rsidRDefault="00DA47B1" w:rsidP="00DA47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DA47B1" w:rsidRPr="00B15D37" w14:paraId="0643A5F1" w14:textId="77777777" w:rsidTr="00BC2356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13AFCB" w14:textId="77777777" w:rsidR="00DA47B1" w:rsidRPr="00B15D37" w:rsidRDefault="00DA47B1" w:rsidP="00DA47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4B9FF1" w14:textId="77777777" w:rsidR="00DA47B1" w:rsidRPr="00B15D37" w:rsidRDefault="00DA47B1" w:rsidP="00DA47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DA47B1" w:rsidRPr="00CD7F95" w14:paraId="43B12B55" w14:textId="77777777" w:rsidTr="00112EEF">
        <w:trPr>
          <w:gridAfter w:val="1"/>
          <w:wAfter w:w="3014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41B0F6" w14:textId="77777777" w:rsidR="00DA47B1" w:rsidRPr="00B15D37" w:rsidRDefault="00DA47B1" w:rsidP="00DA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ADAC" w14:textId="70A03CA7" w:rsidR="00DA47B1" w:rsidRPr="00BC2356" w:rsidRDefault="00DA47B1" w:rsidP="00DA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Лідерство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BEDD" w14:textId="77777777" w:rsidR="00DA47B1" w:rsidRDefault="00DA47B1" w:rsidP="00DA47B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7FE0937" w14:textId="77777777" w:rsidR="00DA47B1" w:rsidRDefault="00DA47B1" w:rsidP="00DA47B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всебічному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особистості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7B45029" w14:textId="77777777" w:rsidR="00DA47B1" w:rsidRDefault="00DA47B1" w:rsidP="00DA47B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C95AE7" w14:textId="2B73EBD2" w:rsidR="00DA47B1" w:rsidRPr="002E4364" w:rsidRDefault="00DA47B1" w:rsidP="00DA47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</w:p>
        </w:tc>
      </w:tr>
      <w:tr w:rsidR="00DA47B1" w:rsidRPr="00B15D37" w14:paraId="003BDE93" w14:textId="299BC073" w:rsidTr="00112EE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266E" w14:textId="2EEB989E" w:rsidR="00DA47B1" w:rsidRPr="00560C42" w:rsidRDefault="00DA47B1" w:rsidP="00DA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3FE6" w14:textId="192A903D" w:rsidR="00DA47B1" w:rsidRPr="00560C42" w:rsidRDefault="00DA47B1" w:rsidP="00DA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2970" w14:textId="77777777" w:rsidR="00DA47B1" w:rsidRDefault="00DA47B1" w:rsidP="00DA47B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виважені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FE66C8" w14:textId="77777777" w:rsidR="00DA47B1" w:rsidRDefault="00DA47B1" w:rsidP="00DA47B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альтернатив;</w:t>
            </w:r>
          </w:p>
          <w:p w14:paraId="10B9F03C" w14:textId="77777777" w:rsidR="00DA47B1" w:rsidRDefault="00DA47B1" w:rsidP="00DA47B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спроможність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виважений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96B30CC" w14:textId="4841DEA6" w:rsidR="00DA47B1" w:rsidRPr="00543FE5" w:rsidRDefault="00DA47B1" w:rsidP="00DA47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</w:p>
        </w:tc>
        <w:tc>
          <w:tcPr>
            <w:tcW w:w="3014" w:type="dxa"/>
          </w:tcPr>
          <w:p w14:paraId="5732C1C2" w14:textId="77777777" w:rsidR="00DA47B1" w:rsidRPr="00B15D37" w:rsidRDefault="00DA47B1" w:rsidP="00DA47B1">
            <w:pPr>
              <w:spacing w:after="0"/>
            </w:pPr>
          </w:p>
        </w:tc>
      </w:tr>
      <w:tr w:rsidR="00DA47B1" w:rsidRPr="00B15D37" w14:paraId="033129E9" w14:textId="77777777" w:rsidTr="00BC235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5BBE" w14:textId="103FF8F0" w:rsidR="00DA47B1" w:rsidRPr="00560C42" w:rsidRDefault="00DA47B1" w:rsidP="00DA47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74BF" w14:textId="220770A1" w:rsidR="00DA47B1" w:rsidRPr="00112EEF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персоналом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A0AA" w14:textId="77777777" w:rsidR="00DA47B1" w:rsidRDefault="00DA47B1" w:rsidP="00DA47B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результатами;</w:t>
            </w:r>
          </w:p>
          <w:p w14:paraId="38B85ADF" w14:textId="77777777" w:rsidR="00DA47B1" w:rsidRDefault="00DA47B1" w:rsidP="00DA47B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382F0EF" w14:textId="77777777" w:rsidR="00DA47B1" w:rsidRDefault="00DA47B1" w:rsidP="00DA47B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наставництво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048C71" w14:textId="2161C516" w:rsidR="00DA47B1" w:rsidRPr="00112EEF" w:rsidRDefault="00DA47B1" w:rsidP="00DA47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співробітництва</w:t>
            </w:r>
            <w:proofErr w:type="spellEnd"/>
          </w:p>
        </w:tc>
        <w:tc>
          <w:tcPr>
            <w:tcW w:w="3014" w:type="dxa"/>
          </w:tcPr>
          <w:p w14:paraId="648CA8B6" w14:textId="77777777" w:rsidR="00DA47B1" w:rsidRPr="00B15D37" w:rsidRDefault="00DA47B1" w:rsidP="00DA47B1"/>
        </w:tc>
      </w:tr>
      <w:tr w:rsidR="00DA47B1" w:rsidRPr="00B15D37" w14:paraId="660CB8C7" w14:textId="77777777" w:rsidTr="00BC235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3F07" w14:textId="0F5B7737" w:rsidR="00DA47B1" w:rsidRDefault="00DA47B1" w:rsidP="00DA47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A545" w14:textId="3ED2A2AD" w:rsidR="00DA47B1" w:rsidRPr="00112EEF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9DD7" w14:textId="77777777" w:rsidR="00DA47B1" w:rsidRDefault="00DA47B1" w:rsidP="00DA47B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2F1685" w14:textId="77777777" w:rsidR="00DA47B1" w:rsidRDefault="00DA47B1" w:rsidP="00DA47B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CC1049C" w14:textId="657FEF37" w:rsidR="00DA47B1" w:rsidRPr="00112EEF" w:rsidRDefault="00DA47B1" w:rsidP="00DA47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</w:p>
        </w:tc>
        <w:tc>
          <w:tcPr>
            <w:tcW w:w="3014" w:type="dxa"/>
          </w:tcPr>
          <w:p w14:paraId="33DAA585" w14:textId="77777777" w:rsidR="00DA47B1" w:rsidRPr="00B15D37" w:rsidRDefault="00DA47B1" w:rsidP="00DA47B1"/>
        </w:tc>
      </w:tr>
      <w:tr w:rsidR="00DA47B1" w:rsidRPr="00B15D37" w14:paraId="17B17ED5" w14:textId="77777777" w:rsidTr="00BC235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7081" w14:textId="42F9378C" w:rsidR="00DA47B1" w:rsidRDefault="00DA47B1" w:rsidP="00DA47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DC62" w14:textId="7808F768" w:rsidR="00DA47B1" w:rsidRPr="00112EEF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363D" w14:textId="77777777" w:rsidR="00DA47B1" w:rsidRDefault="00DA47B1" w:rsidP="00DA47B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157389" w14:textId="77777777" w:rsidR="00DA47B1" w:rsidRDefault="00DA47B1" w:rsidP="00DA47B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фокусувати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AD05513" w14:textId="32FE4382" w:rsidR="00DA47B1" w:rsidRPr="00112EEF" w:rsidRDefault="00DA47B1" w:rsidP="00DA47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запобігати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перешкоди</w:t>
            </w:r>
            <w:proofErr w:type="spellEnd"/>
          </w:p>
        </w:tc>
        <w:tc>
          <w:tcPr>
            <w:tcW w:w="3014" w:type="dxa"/>
          </w:tcPr>
          <w:p w14:paraId="155C7998" w14:textId="77777777" w:rsidR="00DA47B1" w:rsidRPr="00B15D37" w:rsidRDefault="00DA47B1" w:rsidP="00DA47B1"/>
        </w:tc>
      </w:tr>
      <w:tr w:rsidR="00DA47B1" w:rsidRPr="00B15D37" w14:paraId="23241FD8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D6666D" w14:textId="77777777" w:rsidR="00DA47B1" w:rsidRPr="00B15D37" w:rsidRDefault="00DA47B1" w:rsidP="00DA47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DA47B1" w:rsidRPr="00B15D37" w14:paraId="3BB0B733" w14:textId="77777777" w:rsidTr="002E436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E664D0" w14:textId="77777777" w:rsidR="00DA47B1" w:rsidRPr="00B15D37" w:rsidRDefault="00DA47B1" w:rsidP="00DA47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0B64639" w14:textId="77777777" w:rsidR="00DA47B1" w:rsidRPr="00B15D37" w:rsidRDefault="00DA47B1" w:rsidP="00DA47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DA47B1" w:rsidRPr="00B15D37" w14:paraId="44937550" w14:textId="77777777" w:rsidTr="007712B6">
        <w:trPr>
          <w:gridAfter w:val="1"/>
          <w:wAfter w:w="301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E5BD" w14:textId="48F11A61" w:rsidR="00DA47B1" w:rsidRPr="00644666" w:rsidRDefault="00DA47B1" w:rsidP="00DA47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3EB4" w14:textId="77777777" w:rsidR="00DA47B1" w:rsidRPr="00B15D37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5E54" w14:textId="77777777" w:rsidR="00DA47B1" w:rsidRPr="00B15D37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Конституції</w:t>
              </w:r>
              <w:proofErr w:type="spellEnd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6" w:tgtFrame="_blank" w:history="1"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“Про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державну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службу”;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7" w:tgtFrame="_blank" w:history="1"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“Про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запобігання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корупції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”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та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іншого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законодавства</w:t>
            </w:r>
            <w:proofErr w:type="spellEnd"/>
          </w:p>
        </w:tc>
      </w:tr>
      <w:tr w:rsidR="00DA47B1" w:rsidRPr="00B15D37" w14:paraId="302643A3" w14:textId="77777777" w:rsidTr="007712B6">
        <w:trPr>
          <w:gridAfter w:val="1"/>
          <w:wAfter w:w="301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2F72" w14:textId="648DCACF" w:rsidR="00DA47B1" w:rsidRPr="00644666" w:rsidRDefault="00DA47B1" w:rsidP="00DA47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D14" w14:textId="62923700" w:rsidR="00DA47B1" w:rsidRPr="00B15D37" w:rsidRDefault="00DA47B1" w:rsidP="00DA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B10" w14:textId="1E54DA3C" w:rsidR="00DA47B1" w:rsidRPr="006A6882" w:rsidRDefault="00DA47B1" w:rsidP="00DA4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ветеринарну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медицину», Закон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безпечності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», Закон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побічні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тваринного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призначені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споживання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людиною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», Закон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ідентифікацію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тварин»,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Прем’єр-міністра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накази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міністерств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правові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регулюють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57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57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безпечності</w:t>
            </w:r>
            <w:proofErr w:type="spellEnd"/>
            <w:r w:rsidRPr="0057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харчових</w:t>
            </w:r>
            <w:proofErr w:type="spellEnd"/>
            <w:r w:rsidRPr="0057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продуктів</w:t>
            </w:r>
            <w:proofErr w:type="spellEnd"/>
            <w:r w:rsidRPr="0057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7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ветеринарної</w:t>
            </w:r>
            <w:proofErr w:type="spellEnd"/>
            <w:r w:rsidRPr="0057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медицини</w:t>
            </w:r>
            <w:proofErr w:type="spellEnd"/>
          </w:p>
        </w:tc>
      </w:tr>
    </w:tbl>
    <w:p w14:paraId="2D0C8ACF" w14:textId="3E7176DC" w:rsidR="00615C1D" w:rsidRDefault="00BF375E">
      <w:bookmarkStart w:id="3" w:name="n767"/>
      <w:bookmarkEnd w:id="3"/>
    </w:p>
    <w:p w14:paraId="21E99996" w14:textId="19B5C3CB" w:rsidR="00AC6584" w:rsidRDefault="00AC6584"/>
    <w:p w14:paraId="6D251457" w14:textId="428A4664" w:rsidR="00AC6584" w:rsidRDefault="00AC6584"/>
    <w:sectPr w:rsidR="00AC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790"/>
    <w:multiLevelType w:val="multilevel"/>
    <w:tmpl w:val="85C0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8A1CAD"/>
    <w:multiLevelType w:val="hybridMultilevel"/>
    <w:tmpl w:val="9E3CCE58"/>
    <w:lvl w:ilvl="0" w:tplc="D7CA0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7290B"/>
    <w:multiLevelType w:val="hybridMultilevel"/>
    <w:tmpl w:val="71CE60DA"/>
    <w:lvl w:ilvl="0" w:tplc="B23C1828">
      <w:start w:val="2"/>
      <w:numFmt w:val="bullet"/>
      <w:lvlText w:val="-"/>
      <w:lvlJc w:val="left"/>
      <w:pPr>
        <w:ind w:left="882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27720"/>
    <w:multiLevelType w:val="hybridMultilevel"/>
    <w:tmpl w:val="BEAA2D42"/>
    <w:lvl w:ilvl="0" w:tplc="9E941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30083"/>
    <w:multiLevelType w:val="multilevel"/>
    <w:tmpl w:val="B5EE10DC"/>
    <w:lvl w:ilvl="0">
      <w:start w:val="1"/>
      <w:numFmt w:val="bullet"/>
      <w:lvlText w:val="-"/>
      <w:lvlJc w:val="left"/>
      <w:pPr>
        <w:ind w:left="899" w:hanging="360"/>
      </w:p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55"/>
    <w:rsid w:val="00074855"/>
    <w:rsid w:val="00082654"/>
    <w:rsid w:val="00095CA6"/>
    <w:rsid w:val="000C76D6"/>
    <w:rsid w:val="00112EEF"/>
    <w:rsid w:val="00217332"/>
    <w:rsid w:val="002219CA"/>
    <w:rsid w:val="002B1C0B"/>
    <w:rsid w:val="002B6D79"/>
    <w:rsid w:val="002E4364"/>
    <w:rsid w:val="002F287F"/>
    <w:rsid w:val="002F47EA"/>
    <w:rsid w:val="00317135"/>
    <w:rsid w:val="00353808"/>
    <w:rsid w:val="003C102B"/>
    <w:rsid w:val="004009FE"/>
    <w:rsid w:val="004108EC"/>
    <w:rsid w:val="00432CB0"/>
    <w:rsid w:val="0046501D"/>
    <w:rsid w:val="0049693E"/>
    <w:rsid w:val="004B0CC5"/>
    <w:rsid w:val="004D56A9"/>
    <w:rsid w:val="00543FE5"/>
    <w:rsid w:val="00560C42"/>
    <w:rsid w:val="00597452"/>
    <w:rsid w:val="005B2FD4"/>
    <w:rsid w:val="00630627"/>
    <w:rsid w:val="00644666"/>
    <w:rsid w:val="006A6882"/>
    <w:rsid w:val="007712B6"/>
    <w:rsid w:val="00795E3A"/>
    <w:rsid w:val="007A4219"/>
    <w:rsid w:val="007F1A61"/>
    <w:rsid w:val="00840EFC"/>
    <w:rsid w:val="0090428F"/>
    <w:rsid w:val="009311C9"/>
    <w:rsid w:val="009C1584"/>
    <w:rsid w:val="009F066E"/>
    <w:rsid w:val="00A340F5"/>
    <w:rsid w:val="00A41474"/>
    <w:rsid w:val="00A7708E"/>
    <w:rsid w:val="00A96562"/>
    <w:rsid w:val="00AC6584"/>
    <w:rsid w:val="00B13567"/>
    <w:rsid w:val="00B15D37"/>
    <w:rsid w:val="00BC2356"/>
    <w:rsid w:val="00BE6BCA"/>
    <w:rsid w:val="00BF375E"/>
    <w:rsid w:val="00C415C6"/>
    <w:rsid w:val="00C70F6D"/>
    <w:rsid w:val="00CB0CDE"/>
    <w:rsid w:val="00CD39CD"/>
    <w:rsid w:val="00CD7F95"/>
    <w:rsid w:val="00CF32FC"/>
    <w:rsid w:val="00D0377C"/>
    <w:rsid w:val="00DA47B1"/>
    <w:rsid w:val="00EB41D3"/>
    <w:rsid w:val="00ED29BA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D082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52"/>
    <w:pPr>
      <w:ind w:left="720"/>
      <w:contextualSpacing/>
    </w:pPr>
    <w:rPr>
      <w:lang w:val="uk-UA"/>
    </w:rPr>
  </w:style>
  <w:style w:type="paragraph" w:customStyle="1" w:styleId="a4">
    <w:name w:val="Нормальний текст"/>
    <w:basedOn w:val="a"/>
    <w:rsid w:val="00217332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_"/>
    <w:link w:val="5"/>
    <w:locked/>
    <w:rsid w:val="005B2FD4"/>
    <w:rPr>
      <w:sz w:val="25"/>
      <w:shd w:val="clear" w:color="auto" w:fill="FFFFFF"/>
    </w:rPr>
  </w:style>
  <w:style w:type="paragraph" w:customStyle="1" w:styleId="5">
    <w:name w:val="Основной текст5"/>
    <w:basedOn w:val="a"/>
    <w:link w:val="a5"/>
    <w:rsid w:val="005B2FD4"/>
    <w:pPr>
      <w:widowControl w:val="0"/>
      <w:shd w:val="clear" w:color="auto" w:fill="FFFFFF"/>
      <w:spacing w:after="0" w:line="240" w:lineRule="atLeast"/>
    </w:pPr>
    <w:rPr>
      <w:sz w:val="25"/>
    </w:rPr>
  </w:style>
  <w:style w:type="character" w:customStyle="1" w:styleId="rvts0">
    <w:name w:val="rvts0"/>
    <w:rsid w:val="00BC2356"/>
  </w:style>
  <w:style w:type="paragraph" w:styleId="a6">
    <w:name w:val="caption"/>
    <w:basedOn w:val="a"/>
    <w:next w:val="a"/>
    <w:qFormat/>
    <w:rsid w:val="00560C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560C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560C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TableNormal">
    <w:name w:val="Table Normal"/>
    <w:rsid w:val="007F1A61"/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41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Title"/>
    <w:basedOn w:val="a"/>
    <w:next w:val="a"/>
    <w:link w:val="aa"/>
    <w:uiPriority w:val="10"/>
    <w:qFormat/>
    <w:rsid w:val="007712B6"/>
    <w:pPr>
      <w:keepNext/>
      <w:keepLines/>
      <w:spacing w:before="48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72"/>
      <w:szCs w:val="72"/>
      <w:lang w:val="uk-UA"/>
    </w:rPr>
  </w:style>
  <w:style w:type="character" w:customStyle="1" w:styleId="aa">
    <w:name w:val="Назва Знак"/>
    <w:basedOn w:val="a0"/>
    <w:link w:val="a9"/>
    <w:uiPriority w:val="10"/>
    <w:rsid w:val="007712B6"/>
    <w:rPr>
      <w:rFonts w:ascii="Times New Roman" w:eastAsia="Times New Roman" w:hAnsi="Times New Roman" w:cs="Times New Roman"/>
      <w:b/>
      <w:sz w:val="72"/>
      <w:szCs w:val="72"/>
      <w:lang w:val="uk-UA"/>
    </w:rPr>
  </w:style>
  <w:style w:type="character" w:customStyle="1" w:styleId="2">
    <w:name w:val="Основной текст (2)"/>
    <w:basedOn w:val="a0"/>
    <w:rsid w:val="004D5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Основной текст1"/>
    <w:rsid w:val="00DA47B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7128</Words>
  <Characters>4064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Смирнова Оксана Олегівна</cp:lastModifiedBy>
  <cp:revision>35</cp:revision>
  <cp:lastPrinted>2021-12-14T14:43:00Z</cp:lastPrinted>
  <dcterms:created xsi:type="dcterms:W3CDTF">2021-03-05T09:37:00Z</dcterms:created>
  <dcterms:modified xsi:type="dcterms:W3CDTF">2021-12-16T12:30:00Z</dcterms:modified>
</cp:coreProperties>
</file>